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551019"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7854969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754166"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337288"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365463"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117935"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412147"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210,000.00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Carisbrooke Road, Far Headingley</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 TWO DOUBLE BEDROOM, SECOND FLOOR APARTMENT WITH SECURE UNDERCROFT PARKING IN THIS SOUGHT AFTER DEVELOPMENT**** The apartment is located in the highly popular area of Weetwood and is within walking distance of the Village hotel, local shops, bars, restaurants and has great transport links. The property must be viewed to appreciate the accommodation on offer. Briefly comprising; spacious hallway with storage cupboard, good sized kitchen, spacious lounge, master bedroom with en-suite shower room, second double bedroom and house bathroom. SECURE PARKING. Deposit £1440.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210,000.00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Carisbrooke Road, Far Headingley</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 TWO DOUBLE BEDROOM, SECOND FLOOR APARTMENT WITH SECURE UNDERCROFT PARKING IN THIS SOUGHT AFTER DEVELOPMENT**** The apartment is located in the highly popular area of Weetwood and is within walking distance of the Village hotel, local shops, bars, restaurants and has great transport links. The property must be viewed to appreciate the accommodation on offer. Briefly comprising; spacious hallway with storage cupboard, good sized kitchen, spacious lounge, master bedroom with en-suite shower room, second double bedroom and house bathroom. SECURE PARKING. Deposit £1440.</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7074855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218038"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01386"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7276476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664110"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001683"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43955285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194017"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25017"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15960505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695316"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442885"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9460158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537009"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690732"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0811814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978726"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282429"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19474048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850006"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289541"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210662707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41550"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986007"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Communal Hallway</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Attractive communal entrance with secure entry system. Lift and stairs to all floors.</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Entrance Hall</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A spacious private entrance with secure telephone entry system. Two useful storage cupboards, one housing the boiler. Laminate flooring.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Living room</w:t>
            </w:r>
            <w:r w:rsidRPr="008F0587">
              <w:rPr>
                <w:rFonts w:ascii="Open Sans" w:hAnsi="Open Sans" w:cs="Open Sans"/>
                <w:b/>
                <w:bCs/>
              </w:rPr>
              <w:t xml:space="preserve"> </w:t>
            </w:r>
            <w:r w:rsidRPr="008F0587">
              <w:rPr>
                <w:rFonts w:ascii="Open Sans" w:hAnsi="Open Sans" w:cs="Open Sans"/>
                <w:b/>
                <w:bCs/>
              </w:rPr>
              <w:t xml:space="preserve">5.6m (18'4)  x 4.3m (14'1) </w:t>
            </w:r>
          </w:p>
          <w:p w:rsidR="008F0587" w:rsidP="00E52A93" w14:textId="77777777">
            <w:pPr>
              <w:spacing w:line="259" w:lineRule="auto"/>
              <w:rPr>
                <w:rFonts w:ascii="Open Sans" w:hAnsi="Open Sans" w:cs="Open Sans"/>
              </w:rPr>
            </w:pPr>
            <w:r w:rsidRPr="008F0587">
              <w:rPr>
                <w:rFonts w:ascii="Open Sans" w:hAnsi="Open Sans" w:cs="Open Sans"/>
              </w:rPr>
              <w:t>Spacious, light and airy living area with uPVC  bay window. Two gas central heating radiators.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r w:rsidRPr="008F0587">
              <w:rPr>
                <w:rFonts w:ascii="Open Sans" w:hAnsi="Open Sans" w:cs="Open Sans"/>
                <w:b/>
                <w:bCs/>
              </w:rPr>
              <w:t xml:space="preserve">3.7m (12'2)  x 2.7m (8'10) </w:t>
            </w:r>
          </w:p>
          <w:p w:rsidR="008F0587" w:rsidP="00E52A93" w14:textId="77777777">
            <w:pPr>
              <w:spacing w:line="259" w:lineRule="auto"/>
              <w:rPr>
                <w:rFonts w:ascii="Open Sans" w:hAnsi="Open Sans" w:cs="Open Sans"/>
              </w:rPr>
            </w:pPr>
            <w:r w:rsidRPr="008F0587">
              <w:rPr>
                <w:rFonts w:ascii="Open Sans" w:hAnsi="Open Sans" w:cs="Open Sans"/>
              </w:rPr>
              <w:t>Fitted with a range of modern wall, base and drawer units with worktops over. Integrated electric oven with gas hob and extractor hood above. Space for washing machine and fridge/freezer.  Stainless steel sink with drainer and mixer tap. uPVC double glazed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r w:rsidRPr="008F0587">
              <w:rPr>
                <w:rFonts w:ascii="Open Sans" w:hAnsi="Open Sans" w:cs="Open Sans"/>
                <w:b/>
                <w:bCs/>
              </w:rPr>
              <w:t xml:space="preserve">5m (16'5)  x 2.8m (9'2) </w:t>
            </w:r>
          </w:p>
          <w:p w:rsidR="008F0587" w:rsidP="00E52A93" w14:textId="77777777">
            <w:pPr>
              <w:spacing w:line="259" w:lineRule="auto"/>
              <w:rPr>
                <w:rFonts w:ascii="Open Sans" w:hAnsi="Open Sans" w:cs="Open Sans"/>
              </w:rPr>
            </w:pPr>
            <w:r w:rsidRPr="008F0587">
              <w:rPr>
                <w:rFonts w:ascii="Open Sans" w:hAnsi="Open Sans" w:cs="Open Sans"/>
              </w:rPr>
              <w:t>Double bedroom with uPVC double glazed window.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En-suite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white suite comprising; shower cubicle, WC and wash hand basin. Tiled walls.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r w:rsidRPr="008F0587">
              <w:rPr>
                <w:rFonts w:ascii="Open Sans" w:hAnsi="Open Sans" w:cs="Open Sans"/>
                <w:b/>
                <w:bCs/>
              </w:rPr>
              <w:t xml:space="preserve">3.7m (12'2)  x 2.5m (8'2) </w:t>
            </w:r>
          </w:p>
          <w:p w:rsidR="008F0587" w:rsidP="00E52A93" w14:textId="77777777">
            <w:pPr>
              <w:spacing w:line="259" w:lineRule="auto"/>
              <w:rPr>
                <w:rFonts w:ascii="Open Sans" w:hAnsi="Open Sans" w:cs="Open Sans"/>
              </w:rPr>
            </w:pPr>
            <w:r w:rsidRPr="008F0587">
              <w:rPr>
                <w:rFonts w:ascii="Open Sans" w:hAnsi="Open Sans" w:cs="Open Sans"/>
              </w:rPr>
              <w:t>Second double bedroom with uPVC double glazed window.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Bathroom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Fitted with a three piece white suite comprising; bath with shower over, WC and wash hand basin. Tiled walls.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D</w:t>
              <w:br/>
              <w:t>EPC Rating B</w:t>
              <w:br/>
              <w:br/>
              <w:t>6 Month tenancy only then onto rolling.</w:t>
              <w:br/>
              <w:t>Leasehold property</w:t>
              <w:br/>
              <w:t>Parking</w:t>
              <w:br/>
              <w:t>Broadband: Standard</w:t>
              <w:tab/>
              <w:t>15 Mbps</w:t>
              <w:tab/>
              <w:t>1 Mbps</w:t>
              <w:tab/>
              <w:t>Good</w:t>
              <w:br/>
              <w:t>Superfast</w:t>
              <w:tab/>
              <w:t>80 Mbps</w:t>
              <w:tab/>
              <w:t>20 Mbps</w:t>
              <w:tab/>
              <w:t>Good</w:t>
              <w:br/>
              <w:t>Ultrafast</w:t>
              <w:tab/>
              <w:t>1000 Mbps</w:t>
              <w:tab/>
              <w:t>1000 Mbps</w:t>
              <w:br/>
              <w:t>Mobile availability: EE likely to have good coverage  . Three limited coverage. O2 limited. Vodafone limited coverage.</w:t>
              <w:br/>
              <w:br/>
              <w:t xml:space="preserve">Utilities: Water supplied on standard meters. Gas and Electric mains supplied on standard meters.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Leasehold - 125 years from 2003</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Service Charge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£143.99 (Annual)     -             Central Park (Grounds Only)</w:t>
              <w:br/>
              <w:t xml:space="preserve">£116.01 (Annual)     -             Headingly Otley Road </w:t>
              <w:br/>
              <w:t xml:space="preserve">£2,451.47 (Annual)  -             Time Square </w:t>
              <w:br/>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2029</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0"/>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footer" Target="footer1.xml" /><Relationship Id="rId21" Type="http://schemas.openxmlformats.org/officeDocument/2006/relationships/theme" Target="theme/theme1.xml" /><Relationship Id="rId22" Type="http://schemas.openxmlformats.org/officeDocument/2006/relationships/numbering" Target="numbering.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